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381"/>
        <w:tblW w:w="10633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276"/>
        <w:gridCol w:w="3119"/>
        <w:gridCol w:w="3119"/>
        <w:gridCol w:w="3119"/>
      </w:tblGrid>
      <w:tr w:rsidR="00E75A8F" w14:paraId="686019F9" w14:textId="77777777" w:rsidTr="00E75A8F">
        <w:trPr>
          <w:trHeight w:val="397"/>
        </w:trPr>
        <w:tc>
          <w:tcPr>
            <w:tcW w:w="1276" w:type="dxa"/>
            <w:tcBorders>
              <w:top w:val="single" w:sz="12" w:space="0" w:color="5EB345"/>
              <w:left w:val="single" w:sz="12" w:space="0" w:color="5EB345"/>
              <w:bottom w:val="single" w:sz="12" w:space="0" w:color="5EB345"/>
              <w:right w:val="single" w:sz="12" w:space="0" w:color="5EB345"/>
            </w:tcBorders>
            <w:shd w:val="clear" w:color="auto" w:fill="FFFFFF" w:themeFill="background1"/>
            <w:vAlign w:val="center"/>
          </w:tcPr>
          <w:p w14:paraId="328CD702" w14:textId="77777777" w:rsidR="00E75A8F" w:rsidRPr="00317FCF" w:rsidRDefault="00E75A8F" w:rsidP="00E75A8F">
            <w:pPr>
              <w:pStyle w:val="Heading-1stColumnofTable"/>
            </w:pPr>
            <w:r w:rsidRPr="00317FCF">
              <w:t>Job Title</w:t>
            </w:r>
          </w:p>
        </w:tc>
        <w:tc>
          <w:tcPr>
            <w:tcW w:w="3119" w:type="dxa"/>
            <w:tcBorders>
              <w:top w:val="single" w:sz="12" w:space="0" w:color="5EB345"/>
              <w:left w:val="single" w:sz="12" w:space="0" w:color="5EB345"/>
              <w:bottom w:val="single" w:sz="12" w:space="0" w:color="5EB345"/>
              <w:right w:val="single" w:sz="12" w:space="0" w:color="5EB345"/>
            </w:tcBorders>
            <w:shd w:val="clear" w:color="auto" w:fill="FFFFFF" w:themeFill="background1"/>
            <w:vAlign w:val="center"/>
          </w:tcPr>
          <w:p w14:paraId="60213533" w14:textId="77777777" w:rsidR="00E75A8F" w:rsidRDefault="00E75A8F" w:rsidP="00E75A8F">
            <w:pPr>
              <w:spacing w:before="120"/>
              <w:jc w:val="center"/>
            </w:pPr>
            <w:r>
              <w:t>Soil Sampler</w:t>
            </w:r>
          </w:p>
        </w:tc>
        <w:tc>
          <w:tcPr>
            <w:tcW w:w="3119" w:type="dxa"/>
            <w:tcBorders>
              <w:top w:val="single" w:sz="12" w:space="0" w:color="5EB345"/>
              <w:left w:val="single" w:sz="12" w:space="0" w:color="5EB345"/>
              <w:bottom w:val="single" w:sz="12" w:space="0" w:color="5EB345"/>
              <w:right w:val="single" w:sz="12" w:space="0" w:color="5EB345"/>
            </w:tcBorders>
            <w:shd w:val="clear" w:color="auto" w:fill="FFFFFF" w:themeFill="background1"/>
            <w:vAlign w:val="center"/>
          </w:tcPr>
          <w:p w14:paraId="7502DEAF" w14:textId="77777777" w:rsidR="00E75A8F" w:rsidRDefault="00E75A8F" w:rsidP="00E75A8F">
            <w:pPr>
              <w:spacing w:before="120"/>
              <w:jc w:val="center"/>
            </w:pPr>
            <w:r w:rsidRPr="005128F8">
              <w:t>Function/Location</w:t>
            </w:r>
          </w:p>
        </w:tc>
        <w:tc>
          <w:tcPr>
            <w:tcW w:w="3119" w:type="dxa"/>
            <w:tcBorders>
              <w:top w:val="single" w:sz="12" w:space="0" w:color="5EB345"/>
              <w:left w:val="single" w:sz="12" w:space="0" w:color="5EB345"/>
              <w:bottom w:val="single" w:sz="12" w:space="0" w:color="5EB345"/>
              <w:right w:val="single" w:sz="12" w:space="0" w:color="5EB345"/>
            </w:tcBorders>
            <w:shd w:val="clear" w:color="auto" w:fill="FFFFFF" w:themeFill="background1"/>
            <w:vAlign w:val="center"/>
          </w:tcPr>
          <w:p w14:paraId="0A25D4C4" w14:textId="77777777" w:rsidR="00E75A8F" w:rsidRDefault="00E75A8F" w:rsidP="00E75A8F">
            <w:pPr>
              <w:spacing w:before="120"/>
              <w:jc w:val="center"/>
            </w:pPr>
            <w:r>
              <w:t>Agriculture</w:t>
            </w:r>
          </w:p>
        </w:tc>
      </w:tr>
      <w:tr w:rsidR="00E75A8F" w14:paraId="18D03BFA" w14:textId="77777777" w:rsidTr="00E75A8F">
        <w:trPr>
          <w:trHeight w:val="407"/>
        </w:trPr>
        <w:tc>
          <w:tcPr>
            <w:tcW w:w="1276" w:type="dxa"/>
            <w:tcBorders>
              <w:top w:val="single" w:sz="12" w:space="0" w:color="5EB345"/>
              <w:left w:val="single" w:sz="12" w:space="0" w:color="5EB345"/>
              <w:bottom w:val="single" w:sz="12" w:space="0" w:color="5EB345"/>
              <w:right w:val="single" w:sz="12" w:space="0" w:color="5EB345"/>
            </w:tcBorders>
            <w:shd w:val="clear" w:color="auto" w:fill="FFFFFF" w:themeFill="background1"/>
            <w:vAlign w:val="center"/>
          </w:tcPr>
          <w:p w14:paraId="49D15D31" w14:textId="77777777" w:rsidR="00E75A8F" w:rsidRPr="00317FCF" w:rsidRDefault="00E75A8F" w:rsidP="00E75A8F">
            <w:pPr>
              <w:pStyle w:val="Heading-1stColumnofTable"/>
            </w:pPr>
            <w:r w:rsidRPr="00317FCF">
              <w:t>Grade</w:t>
            </w:r>
          </w:p>
        </w:tc>
        <w:tc>
          <w:tcPr>
            <w:tcW w:w="3119" w:type="dxa"/>
            <w:tcBorders>
              <w:top w:val="single" w:sz="12" w:space="0" w:color="5EB345"/>
              <w:left w:val="single" w:sz="12" w:space="0" w:color="5EB345"/>
              <w:bottom w:val="single" w:sz="12" w:space="0" w:color="5EB345"/>
              <w:right w:val="single" w:sz="12" w:space="0" w:color="5EB345"/>
            </w:tcBorders>
            <w:shd w:val="clear" w:color="auto" w:fill="FFFFFF" w:themeFill="background1"/>
            <w:vAlign w:val="center"/>
          </w:tcPr>
          <w:p w14:paraId="7FF104AD" w14:textId="5E24A527" w:rsidR="00E75A8F" w:rsidRDefault="00E75A8F" w:rsidP="00E75A8F">
            <w:pPr>
              <w:spacing w:before="120"/>
              <w:jc w:val="center"/>
            </w:pPr>
          </w:p>
        </w:tc>
        <w:tc>
          <w:tcPr>
            <w:tcW w:w="3119" w:type="dxa"/>
            <w:tcBorders>
              <w:top w:val="single" w:sz="12" w:space="0" w:color="5EB345"/>
              <w:left w:val="single" w:sz="12" w:space="0" w:color="5EB345"/>
              <w:bottom w:val="single" w:sz="12" w:space="0" w:color="5EB345"/>
              <w:right w:val="single" w:sz="12" w:space="0" w:color="5EB345"/>
            </w:tcBorders>
            <w:shd w:val="clear" w:color="auto" w:fill="FFFFFF" w:themeFill="background1"/>
            <w:vAlign w:val="center"/>
          </w:tcPr>
          <w:p w14:paraId="5C4D65EB" w14:textId="3EE0B2BE" w:rsidR="00E75A8F" w:rsidRDefault="00E75A8F" w:rsidP="00E75A8F">
            <w:pPr>
              <w:spacing w:before="120"/>
              <w:jc w:val="center"/>
            </w:pPr>
          </w:p>
        </w:tc>
        <w:tc>
          <w:tcPr>
            <w:tcW w:w="3119" w:type="dxa"/>
            <w:tcBorders>
              <w:top w:val="single" w:sz="12" w:space="0" w:color="5EB345"/>
              <w:left w:val="single" w:sz="12" w:space="0" w:color="5EB345"/>
              <w:bottom w:val="single" w:sz="12" w:space="0" w:color="5EB345"/>
              <w:right w:val="single" w:sz="12" w:space="0" w:color="5EB345"/>
            </w:tcBorders>
            <w:shd w:val="clear" w:color="auto" w:fill="FFFFFF" w:themeFill="background1"/>
            <w:vAlign w:val="center"/>
          </w:tcPr>
          <w:p w14:paraId="204BD8FE" w14:textId="77777777" w:rsidR="00E75A8F" w:rsidRDefault="00E75A8F" w:rsidP="00E75A8F">
            <w:pPr>
              <w:pStyle w:val="Heading-1stColumnofTable"/>
            </w:pPr>
          </w:p>
        </w:tc>
      </w:tr>
    </w:tbl>
    <w:p w14:paraId="4C336F9C" w14:textId="77777777" w:rsidR="00E75A8F" w:rsidRPr="00A07094" w:rsidRDefault="00E75A8F" w:rsidP="00E75A8F">
      <w:pPr>
        <w:pStyle w:val="MainHeading"/>
        <w:outlineLvl w:val="0"/>
      </w:pPr>
      <w:r w:rsidRPr="00A07094">
        <w:t>Job Description</w:t>
      </w:r>
    </w:p>
    <w:tbl>
      <w:tblPr>
        <w:tblStyle w:val="TableGrid"/>
        <w:tblpPr w:leftFromText="180" w:rightFromText="180" w:vertAnchor="text" w:horzAnchor="margin" w:tblpXSpec="center" w:tblpY="986"/>
        <w:tblW w:w="10542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812"/>
        <w:gridCol w:w="8730"/>
      </w:tblGrid>
      <w:tr w:rsidR="00E75A8F" w14:paraId="23914CEA" w14:textId="77777777" w:rsidTr="00E75A8F">
        <w:trPr>
          <w:trHeight w:val="876"/>
        </w:trPr>
        <w:tc>
          <w:tcPr>
            <w:tcW w:w="1812" w:type="dxa"/>
            <w:tcBorders>
              <w:top w:val="single" w:sz="12" w:space="0" w:color="5EB345"/>
              <w:left w:val="single" w:sz="12" w:space="0" w:color="5EB345"/>
              <w:bottom w:val="single" w:sz="12" w:space="0" w:color="5EB345"/>
              <w:right w:val="single" w:sz="12" w:space="0" w:color="5EB345"/>
            </w:tcBorders>
            <w:shd w:val="clear" w:color="auto" w:fill="FFFFFF" w:themeFill="background1"/>
            <w:vAlign w:val="center"/>
          </w:tcPr>
          <w:p w14:paraId="444EA2B1" w14:textId="77777777" w:rsidR="00E75A8F" w:rsidRPr="007F5F9F" w:rsidRDefault="00E75A8F" w:rsidP="00E75A8F">
            <w:pPr>
              <w:pStyle w:val="Heading-1stColumnofTable"/>
              <w:jc w:val="left"/>
            </w:pPr>
            <w:r>
              <w:t>Job Focus</w:t>
            </w:r>
          </w:p>
        </w:tc>
        <w:tc>
          <w:tcPr>
            <w:tcW w:w="8730" w:type="dxa"/>
            <w:tcBorders>
              <w:top w:val="single" w:sz="12" w:space="0" w:color="5EB345"/>
              <w:left w:val="single" w:sz="12" w:space="0" w:color="5EB345"/>
              <w:bottom w:val="single" w:sz="12" w:space="0" w:color="5EB345"/>
              <w:right w:val="single" w:sz="12" w:space="0" w:color="5EB345"/>
            </w:tcBorders>
            <w:shd w:val="clear" w:color="auto" w:fill="FFFFFF" w:themeFill="background1"/>
          </w:tcPr>
          <w:p w14:paraId="17C44801" w14:textId="77777777" w:rsidR="00E75A8F" w:rsidRPr="00162F0F" w:rsidRDefault="00E75A8F" w:rsidP="00E75A8F">
            <w:pPr>
              <w:jc w:val="both"/>
              <w:rPr>
                <w:sz w:val="21"/>
                <w:szCs w:val="21"/>
              </w:rPr>
            </w:pPr>
            <w:r w:rsidRPr="00162F0F">
              <w:rPr>
                <w:sz w:val="21"/>
                <w:szCs w:val="21"/>
              </w:rPr>
              <w:t>To take samples of soil from agricultural fields for the purpose of determining soil pH or nutrient requirements.</w:t>
            </w:r>
          </w:p>
          <w:p w14:paraId="600B10D3" w14:textId="77777777" w:rsidR="00E75A8F" w:rsidRPr="00916927" w:rsidRDefault="00E75A8F" w:rsidP="00E75A8F">
            <w:pPr>
              <w:spacing w:before="120" w:after="120"/>
              <w:jc w:val="both"/>
            </w:pPr>
            <w:r w:rsidRPr="004E4F79">
              <w:rPr>
                <w:sz w:val="21"/>
                <w:szCs w:val="21"/>
              </w:rPr>
              <w:t>The role holder will be expected to work independently in all weather conditions and is likely to walk around 10km per day on rough ground.</w:t>
            </w:r>
          </w:p>
        </w:tc>
      </w:tr>
      <w:tr w:rsidR="00E75A8F" w14:paraId="4C7DF9D8" w14:textId="77777777" w:rsidTr="00E75A8F">
        <w:trPr>
          <w:trHeight w:val="425"/>
        </w:trPr>
        <w:tc>
          <w:tcPr>
            <w:tcW w:w="1812" w:type="dxa"/>
            <w:tcBorders>
              <w:top w:val="single" w:sz="12" w:space="0" w:color="5EB345"/>
              <w:left w:val="single" w:sz="12" w:space="0" w:color="5EB345"/>
              <w:bottom w:val="single" w:sz="12" w:space="0" w:color="5EB345"/>
              <w:right w:val="single" w:sz="12" w:space="0" w:color="5EB345"/>
            </w:tcBorders>
            <w:shd w:val="clear" w:color="auto" w:fill="FFFFFF" w:themeFill="background1"/>
            <w:vAlign w:val="center"/>
          </w:tcPr>
          <w:p w14:paraId="184073D1" w14:textId="77777777" w:rsidR="00E75A8F" w:rsidRPr="007F5F9F" w:rsidRDefault="00E75A8F" w:rsidP="00E75A8F">
            <w:pPr>
              <w:pStyle w:val="Heading-1stColumnofTable"/>
              <w:jc w:val="left"/>
            </w:pPr>
            <w:r>
              <w:t>Key Responsibilities</w:t>
            </w:r>
            <w:r w:rsidRPr="007F5F9F">
              <w:t xml:space="preserve"> </w:t>
            </w:r>
          </w:p>
        </w:tc>
        <w:tc>
          <w:tcPr>
            <w:tcW w:w="8730" w:type="dxa"/>
            <w:tcBorders>
              <w:top w:val="single" w:sz="12" w:space="0" w:color="5EB345"/>
              <w:left w:val="single" w:sz="12" w:space="0" w:color="5EB345"/>
              <w:bottom w:val="single" w:sz="12" w:space="0" w:color="5EB345"/>
              <w:right w:val="single" w:sz="12" w:space="0" w:color="5EB345"/>
            </w:tcBorders>
            <w:shd w:val="clear" w:color="auto" w:fill="FFFFFF" w:themeFill="background1"/>
            <w:vAlign w:val="center"/>
          </w:tcPr>
          <w:p w14:paraId="7BA7E559" w14:textId="32639F23" w:rsidR="00E75A8F" w:rsidRPr="00162F0F" w:rsidRDefault="00E75A8F" w:rsidP="00E75A8F">
            <w:pPr>
              <w:pStyle w:val="ListParagraph"/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before="120"/>
              <w:jc w:val="both"/>
              <w:textAlignment w:val="auto"/>
              <w:rPr>
                <w:sz w:val="21"/>
                <w:szCs w:val="21"/>
              </w:rPr>
            </w:pPr>
            <w:r w:rsidRPr="00162F0F">
              <w:rPr>
                <w:sz w:val="21"/>
                <w:szCs w:val="21"/>
              </w:rPr>
              <w:t xml:space="preserve">To sample soil in accordance with the locally agreed Soil Sampling Service, via </w:t>
            </w:r>
            <w:r w:rsidR="00753D29">
              <w:rPr>
                <w:sz w:val="21"/>
                <w:szCs w:val="21"/>
              </w:rPr>
              <w:t>Account</w:t>
            </w:r>
            <w:r w:rsidRPr="00162F0F">
              <w:rPr>
                <w:sz w:val="21"/>
                <w:szCs w:val="21"/>
              </w:rPr>
              <w:t xml:space="preserve"> Managers, </w:t>
            </w:r>
            <w:r w:rsidR="00753D29">
              <w:rPr>
                <w:sz w:val="21"/>
                <w:szCs w:val="21"/>
              </w:rPr>
              <w:t>Soil Sampling Co-ordinator</w:t>
            </w:r>
            <w:r w:rsidRPr="00162F0F">
              <w:rPr>
                <w:sz w:val="21"/>
                <w:szCs w:val="21"/>
              </w:rPr>
              <w:t xml:space="preserve">, National </w:t>
            </w:r>
            <w:proofErr w:type="spellStart"/>
            <w:r w:rsidRPr="00162F0F">
              <w:rPr>
                <w:sz w:val="21"/>
                <w:szCs w:val="21"/>
              </w:rPr>
              <w:t>LimeX</w:t>
            </w:r>
            <w:proofErr w:type="spellEnd"/>
            <w:r w:rsidRPr="00162F0F">
              <w:rPr>
                <w:sz w:val="21"/>
                <w:szCs w:val="21"/>
              </w:rPr>
              <w:t xml:space="preserve"> </w:t>
            </w:r>
            <w:proofErr w:type="gramStart"/>
            <w:r w:rsidRPr="00162F0F">
              <w:rPr>
                <w:sz w:val="21"/>
                <w:szCs w:val="21"/>
              </w:rPr>
              <w:t>Manager</w:t>
            </w:r>
            <w:proofErr w:type="gramEnd"/>
            <w:r w:rsidRPr="00162F0F">
              <w:rPr>
                <w:sz w:val="21"/>
                <w:szCs w:val="21"/>
              </w:rPr>
              <w:t xml:space="preserve"> or direct customer contact.</w:t>
            </w:r>
          </w:p>
          <w:p w14:paraId="73169206" w14:textId="77777777" w:rsidR="00E75A8F" w:rsidRPr="00162F0F" w:rsidRDefault="00E75A8F" w:rsidP="00E75A8F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before="120"/>
              <w:jc w:val="both"/>
              <w:textAlignment w:val="auto"/>
              <w:rPr>
                <w:sz w:val="21"/>
                <w:szCs w:val="21"/>
              </w:rPr>
            </w:pPr>
            <w:r w:rsidRPr="00162F0F">
              <w:rPr>
                <w:sz w:val="21"/>
                <w:szCs w:val="21"/>
              </w:rPr>
              <w:t>To be responsible for making all necessary arrangements with the customer in terms of:</w:t>
            </w:r>
          </w:p>
          <w:p w14:paraId="43ECD269" w14:textId="77777777" w:rsidR="00E75A8F" w:rsidRPr="00162F0F" w:rsidRDefault="00E75A8F" w:rsidP="00E75A8F">
            <w:pPr>
              <w:spacing w:before="120"/>
              <w:ind w:left="720"/>
              <w:jc w:val="both"/>
              <w:rPr>
                <w:sz w:val="21"/>
                <w:szCs w:val="21"/>
              </w:rPr>
            </w:pPr>
            <w:r w:rsidRPr="00162F0F">
              <w:rPr>
                <w:sz w:val="21"/>
                <w:szCs w:val="21"/>
              </w:rPr>
              <w:t>1. Date and time of sampling – within service priority guidelines</w:t>
            </w:r>
          </w:p>
          <w:p w14:paraId="6F50E513" w14:textId="77777777" w:rsidR="00E75A8F" w:rsidRPr="00162F0F" w:rsidRDefault="00E75A8F" w:rsidP="00E75A8F">
            <w:pPr>
              <w:spacing w:before="120"/>
              <w:ind w:left="720"/>
              <w:jc w:val="both"/>
              <w:rPr>
                <w:sz w:val="21"/>
                <w:szCs w:val="21"/>
              </w:rPr>
            </w:pPr>
            <w:r w:rsidRPr="00162F0F">
              <w:rPr>
                <w:sz w:val="21"/>
                <w:szCs w:val="21"/>
              </w:rPr>
              <w:t>2. Order of fields to be sampled – within service priority guidelines</w:t>
            </w:r>
          </w:p>
          <w:p w14:paraId="0D710F6E" w14:textId="77777777" w:rsidR="00E75A8F" w:rsidRPr="00162F0F" w:rsidRDefault="00E75A8F" w:rsidP="00E75A8F">
            <w:pPr>
              <w:spacing w:before="120"/>
              <w:ind w:left="720"/>
              <w:jc w:val="both"/>
              <w:rPr>
                <w:sz w:val="21"/>
                <w:szCs w:val="21"/>
              </w:rPr>
            </w:pPr>
            <w:r w:rsidRPr="00162F0F">
              <w:rPr>
                <w:sz w:val="21"/>
                <w:szCs w:val="21"/>
              </w:rPr>
              <w:t>3. Additional sampling requests required at time of visit</w:t>
            </w:r>
          </w:p>
          <w:p w14:paraId="45699673" w14:textId="77777777" w:rsidR="00E75A8F" w:rsidRPr="00162F0F" w:rsidRDefault="00E75A8F" w:rsidP="00E75A8F">
            <w:pPr>
              <w:spacing w:before="120"/>
              <w:ind w:left="720"/>
              <w:jc w:val="both"/>
              <w:rPr>
                <w:sz w:val="21"/>
                <w:szCs w:val="21"/>
              </w:rPr>
            </w:pPr>
            <w:r w:rsidRPr="00162F0F">
              <w:rPr>
                <w:sz w:val="21"/>
                <w:szCs w:val="21"/>
              </w:rPr>
              <w:t>4. Adequate farm/field maps for reporting purposes</w:t>
            </w:r>
          </w:p>
          <w:p w14:paraId="7EBD890C" w14:textId="77777777" w:rsidR="00E75A8F" w:rsidRPr="00162F0F" w:rsidRDefault="00E75A8F" w:rsidP="00E75A8F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before="120"/>
              <w:jc w:val="both"/>
              <w:textAlignment w:val="auto"/>
              <w:rPr>
                <w:sz w:val="21"/>
                <w:szCs w:val="21"/>
              </w:rPr>
            </w:pPr>
            <w:r w:rsidRPr="00162F0F">
              <w:rPr>
                <w:sz w:val="21"/>
                <w:szCs w:val="21"/>
              </w:rPr>
              <w:t xml:space="preserve">The Soil Sampler may be responsible for the analysis of samples which may require laboratory work to test pH levels. Or the passing of samples to other analytical staff but </w:t>
            </w:r>
            <w:proofErr w:type="gramStart"/>
            <w:r w:rsidRPr="00162F0F">
              <w:rPr>
                <w:sz w:val="21"/>
                <w:szCs w:val="21"/>
              </w:rPr>
              <w:t>at all times</w:t>
            </w:r>
            <w:proofErr w:type="gramEnd"/>
            <w:r w:rsidRPr="00162F0F">
              <w:rPr>
                <w:sz w:val="21"/>
                <w:szCs w:val="21"/>
              </w:rPr>
              <w:t xml:space="preserve"> will ensure accuracy and integrity in all aspects of the role.</w:t>
            </w:r>
          </w:p>
          <w:p w14:paraId="483F984E" w14:textId="77777777" w:rsidR="00E75A8F" w:rsidRPr="00162F0F" w:rsidRDefault="00E75A8F" w:rsidP="00E75A8F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before="120"/>
              <w:jc w:val="both"/>
              <w:textAlignment w:val="auto"/>
              <w:rPr>
                <w:sz w:val="21"/>
                <w:szCs w:val="21"/>
              </w:rPr>
            </w:pPr>
            <w:r w:rsidRPr="00162F0F">
              <w:rPr>
                <w:sz w:val="21"/>
                <w:szCs w:val="21"/>
              </w:rPr>
              <w:t>To produce neat accurate result maps if required, delivered in a timely manner to the appropriate AM/recipient.</w:t>
            </w:r>
          </w:p>
          <w:p w14:paraId="4AC2C76B" w14:textId="32DCDD5A" w:rsidR="00E75A8F" w:rsidRPr="00162F0F" w:rsidRDefault="00E75A8F" w:rsidP="00E75A8F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before="120"/>
              <w:jc w:val="both"/>
              <w:textAlignment w:val="auto"/>
              <w:rPr>
                <w:sz w:val="21"/>
                <w:szCs w:val="21"/>
              </w:rPr>
            </w:pPr>
            <w:proofErr w:type="gramStart"/>
            <w:r w:rsidRPr="00162F0F">
              <w:rPr>
                <w:sz w:val="21"/>
                <w:szCs w:val="21"/>
              </w:rPr>
              <w:t>Liaise with Soil Sampling Co-ordinator at all times</w:t>
            </w:r>
            <w:proofErr w:type="gramEnd"/>
            <w:r w:rsidRPr="00162F0F">
              <w:rPr>
                <w:sz w:val="21"/>
                <w:szCs w:val="21"/>
              </w:rPr>
              <w:t>.</w:t>
            </w:r>
          </w:p>
          <w:p w14:paraId="2D6940F8" w14:textId="77777777" w:rsidR="00E75A8F" w:rsidRPr="00162F0F" w:rsidRDefault="00E75A8F" w:rsidP="00E75A8F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before="120"/>
              <w:jc w:val="both"/>
              <w:textAlignment w:val="auto"/>
              <w:rPr>
                <w:sz w:val="21"/>
                <w:szCs w:val="21"/>
              </w:rPr>
            </w:pPr>
            <w:r w:rsidRPr="00162F0F">
              <w:rPr>
                <w:sz w:val="21"/>
                <w:szCs w:val="21"/>
              </w:rPr>
              <w:t xml:space="preserve">Carry out additional duties </w:t>
            </w:r>
            <w:proofErr w:type="gramStart"/>
            <w:r w:rsidRPr="00162F0F">
              <w:rPr>
                <w:sz w:val="21"/>
                <w:szCs w:val="21"/>
              </w:rPr>
              <w:t>e.g.</w:t>
            </w:r>
            <w:proofErr w:type="gramEnd"/>
            <w:r w:rsidRPr="00162F0F">
              <w:rPr>
                <w:sz w:val="21"/>
                <w:szCs w:val="21"/>
              </w:rPr>
              <w:t xml:space="preserve"> checking field clearance for tipping and spreading, as required by British Sugar personnel.</w:t>
            </w:r>
          </w:p>
          <w:p w14:paraId="39EE2F8E" w14:textId="77777777" w:rsidR="00E75A8F" w:rsidRPr="00162F0F" w:rsidRDefault="00E75A8F" w:rsidP="00E75A8F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before="120"/>
              <w:jc w:val="both"/>
              <w:textAlignment w:val="auto"/>
              <w:rPr>
                <w:sz w:val="21"/>
                <w:szCs w:val="21"/>
              </w:rPr>
            </w:pPr>
            <w:r w:rsidRPr="00162F0F">
              <w:rPr>
                <w:sz w:val="21"/>
                <w:szCs w:val="21"/>
              </w:rPr>
              <w:t xml:space="preserve">Accept responsibility for any vehicle provided by British Sugar for the purpose of Soil Sampling, or to provide a reliable roadworthy, </w:t>
            </w:r>
            <w:proofErr w:type="gramStart"/>
            <w:r w:rsidRPr="00162F0F">
              <w:rPr>
                <w:sz w:val="21"/>
                <w:szCs w:val="21"/>
              </w:rPr>
              <w:t>taxed</w:t>
            </w:r>
            <w:proofErr w:type="gramEnd"/>
            <w:r w:rsidRPr="00162F0F">
              <w:rPr>
                <w:sz w:val="21"/>
                <w:szCs w:val="21"/>
              </w:rPr>
              <w:t xml:space="preserve"> and insured vehicle for the same purpose. A full driving licence will be required.</w:t>
            </w:r>
          </w:p>
          <w:p w14:paraId="01A31CAD" w14:textId="77777777" w:rsidR="00E75A8F" w:rsidRPr="00162F0F" w:rsidRDefault="00E75A8F" w:rsidP="00E75A8F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before="120"/>
              <w:jc w:val="both"/>
              <w:textAlignment w:val="auto"/>
              <w:rPr>
                <w:sz w:val="21"/>
                <w:szCs w:val="21"/>
              </w:rPr>
            </w:pPr>
            <w:r w:rsidRPr="00162F0F">
              <w:rPr>
                <w:sz w:val="21"/>
                <w:szCs w:val="21"/>
              </w:rPr>
              <w:t>Ensure that all sampling equipment is maintained in good working order and that all British Sugar equipment is returned in a good condition on request.</w:t>
            </w:r>
          </w:p>
          <w:p w14:paraId="698FD443" w14:textId="77777777" w:rsidR="00E75A8F" w:rsidRPr="00162F0F" w:rsidRDefault="00E75A8F" w:rsidP="00E75A8F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before="120"/>
              <w:jc w:val="both"/>
              <w:textAlignment w:val="auto"/>
              <w:rPr>
                <w:sz w:val="21"/>
                <w:szCs w:val="21"/>
              </w:rPr>
            </w:pPr>
            <w:proofErr w:type="gramStart"/>
            <w:r w:rsidRPr="00162F0F">
              <w:rPr>
                <w:sz w:val="21"/>
                <w:szCs w:val="21"/>
              </w:rPr>
              <w:t>Represent British Sugar in a professional manner at all times</w:t>
            </w:r>
            <w:proofErr w:type="gramEnd"/>
            <w:r w:rsidRPr="00162F0F">
              <w:rPr>
                <w:sz w:val="21"/>
                <w:szCs w:val="21"/>
              </w:rPr>
              <w:t xml:space="preserve"> and dress in accordance with PPE provided.</w:t>
            </w:r>
          </w:p>
          <w:p w14:paraId="4DCF101E" w14:textId="77777777" w:rsidR="00E75A8F" w:rsidRPr="00162F0F" w:rsidRDefault="00E75A8F" w:rsidP="00E75A8F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before="120"/>
              <w:jc w:val="both"/>
              <w:textAlignment w:val="auto"/>
              <w:rPr>
                <w:sz w:val="21"/>
                <w:szCs w:val="21"/>
              </w:rPr>
            </w:pPr>
            <w:r w:rsidRPr="00162F0F">
              <w:rPr>
                <w:sz w:val="21"/>
                <w:szCs w:val="21"/>
              </w:rPr>
              <w:t>Carry out hygiene (Rhizomania) procedures as follows:</w:t>
            </w:r>
          </w:p>
          <w:p w14:paraId="1BAA24EB" w14:textId="77777777" w:rsidR="00E75A8F" w:rsidRPr="00162F0F" w:rsidRDefault="00E75A8F" w:rsidP="00E75A8F">
            <w:pPr>
              <w:spacing w:before="120"/>
              <w:ind w:left="720"/>
              <w:jc w:val="both"/>
              <w:rPr>
                <w:sz w:val="21"/>
                <w:szCs w:val="21"/>
              </w:rPr>
            </w:pPr>
            <w:r w:rsidRPr="00162F0F">
              <w:rPr>
                <w:sz w:val="21"/>
                <w:szCs w:val="21"/>
              </w:rPr>
              <w:t>1. Ensure adequate approved biocide is available to wash footwear and equipment between customer field walking visits</w:t>
            </w:r>
          </w:p>
          <w:p w14:paraId="695712ED" w14:textId="77777777" w:rsidR="00E75A8F" w:rsidRPr="00B668DF" w:rsidRDefault="00E75A8F" w:rsidP="00E75A8F">
            <w:pPr>
              <w:pStyle w:val="ListParagraph"/>
              <w:spacing w:after="120"/>
              <w:ind w:left="363" w:firstLine="720"/>
            </w:pPr>
            <w:r w:rsidRPr="00162F0F">
              <w:rPr>
                <w:sz w:val="21"/>
                <w:szCs w:val="21"/>
              </w:rPr>
              <w:t>2. Not to take vehicles onto agricultural land without specific customer permission (and where vehicles are taken onto agricultural land to be driven appropri</w:t>
            </w:r>
            <w:r>
              <w:rPr>
                <w:sz w:val="21"/>
                <w:szCs w:val="21"/>
              </w:rPr>
              <w:t>ately for the field conditions)</w:t>
            </w:r>
          </w:p>
        </w:tc>
      </w:tr>
      <w:tr w:rsidR="00E75A8F" w14:paraId="61994AD3" w14:textId="77777777" w:rsidTr="00E75A8F">
        <w:trPr>
          <w:trHeight w:val="425"/>
        </w:trPr>
        <w:tc>
          <w:tcPr>
            <w:tcW w:w="1812" w:type="dxa"/>
            <w:tcBorders>
              <w:top w:val="single" w:sz="12" w:space="0" w:color="5EB345"/>
              <w:left w:val="single" w:sz="12" w:space="0" w:color="5EB345"/>
              <w:bottom w:val="single" w:sz="12" w:space="0" w:color="5EB345"/>
              <w:right w:val="single" w:sz="12" w:space="0" w:color="5EB345"/>
            </w:tcBorders>
            <w:shd w:val="clear" w:color="auto" w:fill="FFFFFF" w:themeFill="background1"/>
            <w:vAlign w:val="center"/>
          </w:tcPr>
          <w:p w14:paraId="17E6B4F4" w14:textId="77777777" w:rsidR="00E75A8F" w:rsidRPr="007F5F9F" w:rsidRDefault="00E75A8F" w:rsidP="00E75A8F">
            <w:pPr>
              <w:pStyle w:val="Heading-1stColumnofTable"/>
              <w:jc w:val="left"/>
            </w:pPr>
            <w:r>
              <w:t>Measures of Success</w:t>
            </w:r>
          </w:p>
        </w:tc>
        <w:tc>
          <w:tcPr>
            <w:tcW w:w="8730" w:type="dxa"/>
            <w:tcBorders>
              <w:top w:val="single" w:sz="12" w:space="0" w:color="5EB345"/>
              <w:left w:val="single" w:sz="12" w:space="0" w:color="5EB345"/>
              <w:bottom w:val="single" w:sz="12" w:space="0" w:color="5EB345"/>
              <w:right w:val="single" w:sz="12" w:space="0" w:color="5EB345"/>
            </w:tcBorders>
            <w:shd w:val="clear" w:color="auto" w:fill="FFFFFF" w:themeFill="background1"/>
          </w:tcPr>
          <w:p w14:paraId="08B8B42F" w14:textId="77777777" w:rsidR="00E75A8F" w:rsidRPr="00162F0F" w:rsidRDefault="00E75A8F" w:rsidP="00E75A8F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120" w:line="276" w:lineRule="auto"/>
              <w:contextualSpacing/>
              <w:textAlignment w:val="auto"/>
              <w:rPr>
                <w:sz w:val="21"/>
                <w:szCs w:val="21"/>
              </w:rPr>
            </w:pPr>
            <w:r w:rsidRPr="00162F0F">
              <w:rPr>
                <w:sz w:val="21"/>
                <w:szCs w:val="21"/>
              </w:rPr>
              <w:t>Working independently and safely</w:t>
            </w:r>
          </w:p>
          <w:p w14:paraId="30E523C0" w14:textId="77777777" w:rsidR="00E75A8F" w:rsidRPr="00861676" w:rsidRDefault="00E75A8F" w:rsidP="00E75A8F">
            <w:pPr>
              <w:pStyle w:val="BulletPointedBodycopy"/>
              <w:numPr>
                <w:ilvl w:val="0"/>
                <w:numId w:val="3"/>
              </w:numPr>
              <w:spacing w:line="240" w:lineRule="auto"/>
              <w:rPr>
                <w:rFonts w:cstheme="minorHAnsi"/>
                <w:bCs/>
              </w:rPr>
            </w:pPr>
            <w:r w:rsidRPr="00162F0F">
              <w:t>Safely and accurately sampling the daily target as agreed and set by the soil sampling coordinator</w:t>
            </w:r>
          </w:p>
        </w:tc>
      </w:tr>
    </w:tbl>
    <w:p w14:paraId="2A382442" w14:textId="77777777" w:rsidR="00E75A8F" w:rsidRDefault="00E75A8F" w:rsidP="00E75A8F"/>
    <w:p w14:paraId="6AAAA17D" w14:textId="77777777" w:rsidR="00E110D8" w:rsidRDefault="00E110D8"/>
    <w:sectPr w:rsidR="00E110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619D6"/>
    <w:multiLevelType w:val="hybridMultilevel"/>
    <w:tmpl w:val="D0A25F2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EB532DB"/>
    <w:multiLevelType w:val="hybridMultilevel"/>
    <w:tmpl w:val="29142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E22917"/>
    <w:multiLevelType w:val="hybridMultilevel"/>
    <w:tmpl w:val="59B015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A8F"/>
    <w:rsid w:val="00753D29"/>
    <w:rsid w:val="00C23F9A"/>
    <w:rsid w:val="00D00CD8"/>
    <w:rsid w:val="00E110D8"/>
    <w:rsid w:val="00E75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7A334"/>
  <w15:chartTrackingRefBased/>
  <w15:docId w15:val="{F2171180-426C-4BD5-93DA-029D97550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5A8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5A8F"/>
    <w:pPr>
      <w:spacing w:after="0" w:line="240" w:lineRule="auto"/>
    </w:pPr>
    <w:rPr>
      <w:rFonts w:ascii="Arial" w:eastAsia="Times New Roman" w:hAnsi="Arial" w:cs="Arial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5A8F"/>
    <w:pPr>
      <w:ind w:left="720"/>
    </w:pPr>
  </w:style>
  <w:style w:type="paragraph" w:customStyle="1" w:styleId="Heading-1stColumnofTable">
    <w:name w:val="Heading  - 1st Column of Table"/>
    <w:qFormat/>
    <w:rsid w:val="00E75A8F"/>
    <w:pPr>
      <w:spacing w:after="0" w:line="240" w:lineRule="auto"/>
      <w:jc w:val="center"/>
    </w:pPr>
    <w:rPr>
      <w:rFonts w:ascii="Trebuchet MS" w:hAnsi="Trebuchet MS"/>
    </w:rPr>
  </w:style>
  <w:style w:type="paragraph" w:customStyle="1" w:styleId="BulletPointedBodycopy">
    <w:name w:val="Bullet Pointed Bodycopy"/>
    <w:basedOn w:val="ListParagraph"/>
    <w:qFormat/>
    <w:rsid w:val="00E75A8F"/>
    <w:pPr>
      <w:overflowPunct/>
      <w:autoSpaceDE/>
      <w:autoSpaceDN/>
      <w:adjustRightInd/>
      <w:spacing w:before="120" w:after="240" w:line="276" w:lineRule="auto"/>
      <w:ind w:hanging="360"/>
      <w:contextualSpacing/>
      <w:textAlignment w:val="auto"/>
    </w:pPr>
    <w:rPr>
      <w:rFonts w:ascii="Trebuchet MS" w:eastAsiaTheme="minorHAnsi" w:hAnsi="Trebuchet MS" w:cstheme="minorBidi"/>
      <w:sz w:val="22"/>
      <w:szCs w:val="22"/>
    </w:rPr>
  </w:style>
  <w:style w:type="paragraph" w:customStyle="1" w:styleId="MainHeading">
    <w:name w:val="Main Heading"/>
    <w:qFormat/>
    <w:rsid w:val="00E75A8F"/>
    <w:pPr>
      <w:spacing w:after="200" w:line="276" w:lineRule="auto"/>
      <w:jc w:val="center"/>
    </w:pPr>
    <w:rPr>
      <w:rFonts w:ascii="Trebuchet MS" w:hAnsi="Trebuchet MS"/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360</Words>
  <Characters>2054</Characters>
  <Application>Microsoft Office Word</Application>
  <DocSecurity>0</DocSecurity>
  <Lines>17</Lines>
  <Paragraphs>4</Paragraphs>
  <ScaleCrop>false</ScaleCrop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</dc:creator>
  <cp:keywords/>
  <dc:description/>
  <cp:lastModifiedBy>Fuller, Paige</cp:lastModifiedBy>
  <cp:revision>3</cp:revision>
  <dcterms:created xsi:type="dcterms:W3CDTF">2023-01-05T11:43:00Z</dcterms:created>
  <dcterms:modified xsi:type="dcterms:W3CDTF">2023-05-19T13:54:00Z</dcterms:modified>
</cp:coreProperties>
</file>